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宋体"/>
          <w:color w:val="112233"/>
          <w:sz w:val="30"/>
          <w:szCs w:val="30"/>
        </w:rPr>
      </w:pPr>
      <w:r>
        <w:rPr>
          <w:rFonts w:hint="eastAsia" w:ascii="黑体" w:hAnsi="黑体" w:eastAsia="黑体" w:cs="宋体"/>
          <w:color w:val="112233"/>
          <w:sz w:val="30"/>
          <w:szCs w:val="30"/>
          <w:lang w:val="en-US" w:eastAsia="zh-CN"/>
        </w:rPr>
        <w:t>附件1：</w:t>
      </w:r>
      <w:r>
        <w:rPr>
          <w:rFonts w:hint="eastAsia" w:ascii="黑体" w:hAnsi="黑体" w:eastAsia="黑体" w:cs="宋体"/>
          <w:color w:val="112233"/>
          <w:sz w:val="30"/>
          <w:szCs w:val="30"/>
        </w:rPr>
        <w:t>具体课程设计</w:t>
      </w:r>
    </w:p>
    <w:tbl>
      <w:tblPr>
        <w:tblStyle w:val="13"/>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1449"/>
        <w:gridCol w:w="3045"/>
        <w:gridCol w:w="3032"/>
        <w:gridCol w:w="1107"/>
        <w:gridCol w:w="81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87"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center"/>
              <w:rPr>
                <w:rFonts w:hint="default" w:ascii="Songti SC" w:hAnsi="Songti SC" w:eastAsia="Songti SC"/>
              </w:rPr>
            </w:pPr>
            <w:r>
              <w:rPr>
                <w:rFonts w:ascii="Songti SC" w:hAnsi="Songti SC" w:eastAsia="Songti SC" w:cs="宋体"/>
                <w:kern w:val="2"/>
                <w:sz w:val="24"/>
                <w:szCs w:val="24"/>
              </w:rPr>
              <w:t>模块名称</w:t>
            </w: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Fonts w:hint="default" w:ascii="Songti SC" w:hAnsi="Songti SC" w:eastAsia="Songti SC"/>
              </w:rPr>
            </w:pPr>
            <w:r>
              <w:rPr>
                <w:rStyle w:val="12"/>
                <w:rFonts w:ascii="Songti SC" w:hAnsi="Songti SC" w:eastAsia="Songti SC" w:cs="黑体"/>
                <w:b/>
                <w:bCs/>
                <w:sz w:val="22"/>
                <w:szCs w:val="22"/>
              </w:rPr>
              <w:t>课程名称</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center"/>
              <w:rPr>
                <w:rFonts w:hint="default" w:ascii="Songti SC" w:hAnsi="Songti SC" w:eastAsia="Songti SC"/>
              </w:rPr>
            </w:pPr>
            <w:r>
              <w:rPr>
                <w:rStyle w:val="12"/>
                <w:rFonts w:ascii="Songti SC" w:hAnsi="Songti SC" w:eastAsia="Songti SC" w:cs="黑体"/>
                <w:b/>
                <w:bCs/>
                <w:sz w:val="22"/>
                <w:szCs w:val="22"/>
              </w:rPr>
              <w:t>课程简介</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Fonts w:hint="default" w:ascii="Songti SC" w:hAnsi="Songti SC" w:eastAsia="Songti SC"/>
              </w:rPr>
            </w:pPr>
            <w:r>
              <w:rPr>
                <w:rStyle w:val="12"/>
                <w:rFonts w:ascii="Songti SC" w:hAnsi="Songti SC" w:eastAsia="Songti SC" w:cs="黑体"/>
                <w:b/>
                <w:bCs/>
                <w:sz w:val="22"/>
                <w:szCs w:val="22"/>
              </w:rPr>
              <w:t>学时</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cs="黑体"/>
                <w:b/>
                <w:bCs/>
                <w:sz w:val="22"/>
                <w:szCs w:val="22"/>
              </w:rPr>
            </w:pPr>
            <w:r>
              <w:rPr>
                <w:rStyle w:val="12"/>
                <w:rFonts w:ascii="Songti SC" w:hAnsi="Songti SC" w:eastAsia="Songti SC" w:cs="黑体"/>
                <w:b/>
                <w:bCs/>
                <w:sz w:val="22"/>
                <w:szCs w:val="22"/>
              </w:rPr>
              <w:t>学分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16" w:hRule="atLeast"/>
          <w:jc w:val="center"/>
        </w:trPr>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tabs>
                <w:tab w:val="left" w:pos="420"/>
                <w:tab w:val="left" w:pos="840"/>
                <w:tab w:val="left" w:pos="1260"/>
              </w:tabs>
              <w:jc w:val="center"/>
              <w:rPr>
                <w:rFonts w:hint="default" w:ascii="Songti SC" w:hAnsi="Songti SC" w:eastAsia="Songti SC"/>
                <w:lang w:eastAsia="zh-CN"/>
              </w:rPr>
            </w:pPr>
            <w:r>
              <w:rPr>
                <w:rFonts w:ascii="Songti SC" w:hAnsi="Songti SC" w:eastAsia="Songti SC"/>
                <w:lang w:eastAsia="zh-CN"/>
              </w:rPr>
              <w:t>心理咨询理论与实务初阶</w:t>
            </w:r>
          </w:p>
          <w:p>
            <w:pPr>
              <w:pStyle w:val="11"/>
              <w:tabs>
                <w:tab w:val="left" w:pos="420"/>
                <w:tab w:val="left" w:pos="840"/>
                <w:tab w:val="left" w:pos="1260"/>
              </w:tabs>
              <w:jc w:val="center"/>
              <w:rPr>
                <w:rFonts w:hint="default" w:ascii="Songti SC" w:hAnsi="Songti SC" w:eastAsia="Songti SC"/>
                <w:lang w:val="en-US"/>
              </w:rPr>
            </w:pPr>
            <w:r>
              <w:rPr>
                <w:rFonts w:hint="default" w:ascii="Songti SC" w:hAnsi="Songti SC" w:eastAsia="Songti SC"/>
                <w:lang w:val="en-US"/>
              </w:rPr>
              <w:t>(144</w:t>
            </w:r>
            <w:r>
              <w:rPr>
                <w:rFonts w:ascii="Songti SC" w:hAnsi="Songti SC" w:eastAsia="Songti SC"/>
                <w:lang w:val="en-US" w:eastAsia="zh-CN"/>
              </w:rPr>
              <w:t>学时</w:t>
            </w:r>
            <w:r>
              <w:rPr>
                <w:rFonts w:hint="default" w:ascii="Songti SC" w:hAnsi="Songti SC" w:eastAsia="Songti SC"/>
                <w:lang w:val="en-US"/>
              </w:rPr>
              <w:t>)</w:t>
            </w: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rPr>
              <w:t>心理病理学</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tabs>
                <w:tab w:val="left" w:pos="420"/>
                <w:tab w:val="left" w:pos="840"/>
                <w:tab w:val="left" w:pos="1260"/>
              </w:tabs>
              <w:jc w:val="left"/>
              <w:rPr>
                <w:rStyle w:val="12"/>
                <w:rFonts w:hint="default" w:ascii="Songti SC" w:hAnsi="Songti SC" w:eastAsia="Songti SC" w:cs="黑体"/>
                <w:lang w:eastAsia="zh-CN"/>
              </w:rPr>
            </w:pPr>
            <w:r>
              <w:rPr>
                <w:rFonts w:ascii="Songti SC" w:hAnsi="Songti SC" w:eastAsia="Songti SC"/>
                <w:lang w:eastAsia="zh-CN"/>
              </w:rPr>
              <w:t>常见的心理障碍的基本性质及其产生原因、结构、变化机制，并掌握不同类心理障碍基本的识别能力。</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rPr>
            </w:pPr>
            <w:r>
              <w:rPr>
                <w:rStyle w:val="12"/>
                <w:rFonts w:hint="default" w:ascii="Songti SC" w:hAnsi="Songti SC" w:eastAsia="Songti SC"/>
                <w:sz w:val="22"/>
                <w:szCs w:val="22"/>
                <w:lang w:val="en-US"/>
              </w:rPr>
              <w:t>32</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tabs>
                <w:tab w:val="left" w:pos="420"/>
                <w:tab w:val="left" w:pos="840"/>
                <w:tab w:val="left" w:pos="1260"/>
              </w:tabs>
              <w:jc w:val="center"/>
              <w:rPr>
                <w:rFonts w:hint="default" w:ascii="Songti SC" w:hAnsi="Songti SC" w:eastAsia="Songti SC"/>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心理咨询理论与技术I</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tabs>
                <w:tab w:val="left" w:pos="420"/>
                <w:tab w:val="left" w:pos="840"/>
                <w:tab w:val="left" w:pos="1260"/>
              </w:tabs>
              <w:jc w:val="left"/>
              <w:rPr>
                <w:rStyle w:val="12"/>
                <w:rFonts w:hint="default" w:ascii="Songti SC" w:hAnsi="Songti SC" w:eastAsia="Songti SC" w:cs="黑体"/>
                <w:lang w:eastAsia="zh-CN"/>
              </w:rPr>
            </w:pPr>
            <w:r>
              <w:rPr>
                <w:rStyle w:val="12"/>
                <w:rFonts w:ascii="Songti SC" w:hAnsi="Songti SC" w:eastAsia="Songti SC" w:cs="黑体"/>
                <w:lang w:eastAsia="zh-CN"/>
              </w:rPr>
              <w:t>该课程旨在让学生对心理咨询有初步的了解，是临床心理咨询理论初阶课程，包含概述，认知行为疗法，人本，和心理动力的理论、核心技术及实务应用。</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rPr>
            </w:pPr>
            <w:r>
              <w:rPr>
                <w:rStyle w:val="12"/>
                <w:rFonts w:hint="default" w:ascii="Songti SC" w:hAnsi="Songti SC" w:eastAsia="Songti SC"/>
                <w:sz w:val="22"/>
                <w:szCs w:val="22"/>
                <w:lang w:val="en-US"/>
              </w:rPr>
              <w:t>64</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tabs>
                <w:tab w:val="left" w:pos="420"/>
                <w:tab w:val="left" w:pos="840"/>
                <w:tab w:val="left" w:pos="1260"/>
              </w:tabs>
              <w:jc w:val="center"/>
              <w:rPr>
                <w:rFonts w:hint="default" w:ascii="Songti SC" w:hAnsi="Songti SC" w:eastAsia="Songti SC"/>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Fonts w:hint="default" w:ascii="Songti SC" w:hAnsi="Songti SC" w:eastAsia="Songti SC"/>
              </w:rPr>
            </w:pPr>
            <w:r>
              <w:rPr>
                <w:rStyle w:val="12"/>
                <w:rFonts w:ascii="Songti SC" w:hAnsi="Songti SC" w:eastAsia="Songti SC" w:cs="黑体"/>
                <w:sz w:val="22"/>
                <w:szCs w:val="22"/>
              </w:rPr>
              <w:t>心理咨询过程与方法</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tabs>
                <w:tab w:val="left" w:pos="420"/>
                <w:tab w:val="left" w:pos="840"/>
                <w:tab w:val="left" w:pos="1260"/>
              </w:tabs>
              <w:jc w:val="left"/>
              <w:rPr>
                <w:rFonts w:hint="default" w:ascii="Songti SC" w:hAnsi="Songti SC" w:eastAsia="Songti SC"/>
                <w:lang w:val="en-US" w:eastAsia="zh-CN"/>
              </w:rPr>
            </w:pPr>
            <w:r>
              <w:rPr>
                <w:rFonts w:ascii="Songti SC" w:hAnsi="Songti SC" w:eastAsia="Songti SC"/>
                <w:lang w:val="en-US" w:eastAsia="zh-CN"/>
              </w:rPr>
              <w:t>该课程包含临床心理咨询干预过程中的基本技术和实践方法，旨在使学生认识具体的咨询过程。</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Fonts w:hint="default" w:ascii="Songti SC" w:hAnsi="Songti SC" w:eastAsia="Songti SC"/>
              </w:rPr>
            </w:pPr>
            <w:r>
              <w:rPr>
                <w:rStyle w:val="12"/>
                <w:rFonts w:hint="default" w:ascii="Songti SC" w:hAnsi="Songti SC" w:eastAsia="Songti SC"/>
                <w:sz w:val="22"/>
                <w:szCs w:val="22"/>
                <w:lang w:val="en-US"/>
              </w:rPr>
              <w:t>32</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tabs>
                <w:tab w:val="left" w:pos="420"/>
                <w:tab w:val="left" w:pos="840"/>
                <w:tab w:val="left" w:pos="1260"/>
              </w:tabs>
              <w:jc w:val="center"/>
              <w:rPr>
                <w:rFonts w:hint="default" w:ascii="Songti SC" w:hAnsi="Songti SC" w:eastAsia="Songti SC"/>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rPr>
            </w:pPr>
            <w:r>
              <w:rPr>
                <w:rStyle w:val="12"/>
                <w:rFonts w:ascii="Songti SC" w:hAnsi="Songti SC" w:eastAsia="Songti SC"/>
                <w:sz w:val="22"/>
              </w:rPr>
              <w:t>心理咨询伦理</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Style w:val="12"/>
                <w:rFonts w:ascii="Songti SC" w:hAnsi="Songti SC" w:eastAsia="Songti SC"/>
                <w:szCs w:val="20"/>
              </w:rPr>
            </w:pPr>
            <w:r>
              <w:rPr>
                <w:rFonts w:hint="eastAsia" w:eastAsia="Songti SC" w:cs="Arial Unicode MS"/>
                <w:color w:val="000000"/>
                <w:sz w:val="20"/>
                <w:szCs w:val="20"/>
                <w:u w:color="000000"/>
              </w:rPr>
              <w:t>伦理守则对于咨询师而言至关重要。本课程将</w:t>
            </w:r>
            <w:r>
              <w:rPr>
                <w:rFonts w:eastAsia="Songti SC" w:cs="Arial Unicode MS"/>
                <w:color w:val="000000"/>
                <w:sz w:val="20"/>
                <w:szCs w:val="20"/>
                <w:u w:color="000000"/>
              </w:rPr>
              <w:t>配合实际的例子详细说明如何在复杂的问题中作出符合伦理的决策与行为</w:t>
            </w:r>
            <w:r>
              <w:rPr>
                <w:rFonts w:hint="eastAsia" w:eastAsia="Songti SC" w:cs="Arial Unicode MS"/>
                <w:color w:val="000000"/>
                <w:sz w:val="20"/>
                <w:szCs w:val="20"/>
                <w:u w:color="000000"/>
              </w:rPr>
              <w:t>，旨在使学生拥有伦理意识。</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rPr>
            </w:pPr>
            <w:r>
              <w:rPr>
                <w:rStyle w:val="12"/>
                <w:rFonts w:hint="default" w:ascii="Songti SC" w:hAnsi="Songti SC" w:eastAsia="Songti SC"/>
                <w:sz w:val="22"/>
                <w:lang w:val="en-US"/>
              </w:rPr>
              <w:t>16</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lang w:val="en-US" w:eastAsia="zh-CN"/>
              </w:rPr>
            </w:pPr>
            <w:r>
              <w:rPr>
                <w:rStyle w:val="12"/>
                <w:rFonts w:hint="default" w:ascii="Songti SC" w:hAnsi="Songti SC" w:eastAsia="Songti SC"/>
                <w:sz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3" w:hRule="atLeast"/>
          <w:jc w:val="center"/>
        </w:trPr>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r>
              <w:rPr>
                <w:rFonts w:ascii="Songti SC" w:hAnsi="Songti SC" w:eastAsia="Songti SC"/>
                <w:szCs w:val="20"/>
              </w:rPr>
              <w:t>心理咨询理论与实务</w:t>
            </w:r>
            <w:r>
              <w:rPr>
                <w:rFonts w:hint="eastAsia" w:ascii="Songti SC" w:hAnsi="Songti SC" w:eastAsia="Songti SC"/>
                <w:szCs w:val="20"/>
              </w:rPr>
              <w:t>中阶</w:t>
            </w:r>
          </w:p>
          <w:p>
            <w:pPr>
              <w:jc w:val="center"/>
              <w:rPr>
                <w:rStyle w:val="12"/>
                <w:rFonts w:ascii="Songti SC" w:hAnsi="Songti SC" w:eastAsia="Songti SC" w:cs="黑体"/>
                <w:sz w:val="22"/>
                <w:szCs w:val="22"/>
              </w:rPr>
            </w:pPr>
            <w:r>
              <w:rPr>
                <w:rStyle w:val="12"/>
                <w:rFonts w:eastAsia="Songti SC" w:cs="黑体"/>
                <w:sz w:val="22"/>
                <w:szCs w:val="22"/>
              </w:rPr>
              <w:t>(160</w:t>
            </w:r>
            <w:r>
              <w:rPr>
                <w:rStyle w:val="12"/>
                <w:rFonts w:hint="eastAsia" w:eastAsia="Songti SC" w:cs="黑体"/>
                <w:sz w:val="22"/>
                <w:szCs w:val="22"/>
              </w:rPr>
              <w:t>学时</w:t>
            </w:r>
            <w:r>
              <w:rPr>
                <w:rStyle w:val="12"/>
                <w:rFonts w:eastAsia="Songti SC" w:cs="黑体"/>
                <w:sz w:val="22"/>
                <w:szCs w:val="22"/>
              </w:rPr>
              <w:t>)</w:t>
            </w: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心理咨询理论与技术II</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Style w:val="12"/>
                <w:rFonts w:hint="default" w:ascii="Songti SC" w:hAnsi="Songti SC" w:eastAsia="Songti SC" w:cs="黑体"/>
                <w:lang w:eastAsia="zh-CN"/>
              </w:rPr>
            </w:pPr>
            <w:r>
              <w:rPr>
                <w:rStyle w:val="12"/>
                <w:rFonts w:ascii="Songti SC" w:hAnsi="Songti SC" w:eastAsia="Songti SC" w:cs="黑体"/>
                <w:lang w:eastAsia="zh-CN"/>
              </w:rPr>
              <w:t>该课程旨在进一步掌握丰富的疗法。课程内容包含家庭治疗、接纳承诺疗法、短程焦点、箱庭与艺术治疗的理论、核心技术及实务应用讲解。</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rPr>
            </w:pPr>
            <w:r>
              <w:rPr>
                <w:rStyle w:val="12"/>
                <w:rFonts w:hint="default" w:ascii="Songti SC" w:hAnsi="Songti SC" w:eastAsia="Songti SC"/>
                <w:sz w:val="22"/>
                <w:szCs w:val="22"/>
                <w:lang w:val="en-US"/>
              </w:rPr>
              <w:t>64</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Fonts w:hint="default" w:ascii="Songti SC" w:hAnsi="Songti SC" w:eastAsia="Songti SC"/>
              </w:rPr>
            </w:pPr>
            <w:r>
              <w:rPr>
                <w:rStyle w:val="12"/>
                <w:rFonts w:ascii="Songti SC" w:hAnsi="Songti SC" w:eastAsia="Songti SC" w:cs="黑体"/>
                <w:sz w:val="22"/>
                <w:szCs w:val="22"/>
              </w:rPr>
              <w:t>团体</w:t>
            </w:r>
            <w:r>
              <w:rPr>
                <w:rStyle w:val="12"/>
                <w:rFonts w:ascii="Songti SC" w:hAnsi="Songti SC" w:eastAsia="Songti SC" w:cs="黑体"/>
                <w:sz w:val="22"/>
                <w:szCs w:val="22"/>
                <w:lang w:eastAsia="zh-CN"/>
              </w:rPr>
              <w:t>咨询</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该课程培养咨询师的多元能力。课程包含团体咨询的理论与实践。学生将在这门课程中获得开展团体咨询的基本技术。</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Fonts w:hint="default" w:ascii="Songti SC" w:hAnsi="Songti SC" w:eastAsia="Songti SC"/>
              </w:rPr>
            </w:pPr>
            <w:r>
              <w:rPr>
                <w:rStyle w:val="12"/>
                <w:rFonts w:ascii="Songti SC" w:hAnsi="Songti SC" w:eastAsia="Songti SC"/>
                <w:sz w:val="22"/>
                <w:szCs w:val="22"/>
                <w:lang w:val="en-US"/>
              </w:rPr>
              <w:t>32</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Fonts w:hint="default" w:ascii="Songti SC" w:hAnsi="Songti SC" w:eastAsia="Songti SC"/>
                <w:lang w:eastAsia="zh-CN"/>
              </w:rPr>
            </w:pPr>
            <w:r>
              <w:rPr>
                <w:rStyle w:val="12"/>
                <w:rFonts w:ascii="Songti SC" w:hAnsi="Songti SC" w:eastAsia="Songti SC" w:cs="黑体"/>
                <w:sz w:val="22"/>
                <w:szCs w:val="22"/>
                <w:lang w:eastAsia="zh-CN"/>
              </w:rPr>
              <w:t>心理咨询</w:t>
            </w:r>
            <w:r>
              <w:rPr>
                <w:rStyle w:val="12"/>
                <w:rFonts w:hint="default" w:ascii="Songti SC" w:hAnsi="Songti SC" w:eastAsia="Songti SC" w:cs="黑体"/>
                <w:sz w:val="22"/>
                <w:szCs w:val="22"/>
                <w:lang w:eastAsia="zh-CN"/>
              </w:rPr>
              <w:t>中的多元文化</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多元文化意识对于咨询师至关重要，该课程旨在加深对不同社会领域和文化背景下不同来访者的理解。</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Fonts w:hint="default" w:ascii="Songti SC" w:hAnsi="Songti SC" w:eastAsia="Songti SC"/>
              </w:rPr>
            </w:pPr>
            <w:r>
              <w:rPr>
                <w:rStyle w:val="12"/>
                <w:rFonts w:ascii="Songti SC" w:hAnsi="Songti SC" w:eastAsia="Songti SC"/>
                <w:sz w:val="22"/>
                <w:szCs w:val="22"/>
                <w:lang w:val="en-US" w:eastAsia="zh-CN"/>
              </w:rPr>
              <w:t>16</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儿童青少年测评与干预</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Style w:val="12"/>
                <w:rFonts w:hint="default" w:ascii="Songti SC" w:hAnsi="Songti SC" w:eastAsia="Songti SC" w:cs="黑体"/>
                <w:lang w:eastAsia="zh-CN"/>
              </w:rPr>
            </w:pPr>
            <w:r>
              <w:rPr>
                <w:rStyle w:val="12"/>
                <w:rFonts w:ascii="Songti SC" w:hAnsi="Songti SC" w:eastAsia="Songti SC" w:cs="黑体"/>
                <w:lang w:eastAsia="zh-CN"/>
              </w:rPr>
              <w:t>该课程旨在培养咨询师与未成年来访者工作的能力。该课程以儿童青少年心理发生和发展作为研究对象，学习对基本、常见的青少年儿童问题的评估。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hint="default" w:ascii="Songti SC" w:hAnsi="Songti SC" w:eastAsia="Songti SC"/>
                <w:sz w:val="22"/>
                <w:lang w:val="en-US"/>
              </w:rPr>
              <w:t>32</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lang w:val="en-US" w:eastAsia="zh-CN"/>
              </w:rPr>
            </w:pPr>
            <w:r>
              <w:rPr>
                <w:rStyle w:val="12"/>
                <w:rFonts w:ascii="Songti SC" w:hAnsi="Songti SC" w:eastAsia="Songti SC"/>
                <w:sz w:val="22"/>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6"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Fonts w:hint="default" w:ascii="Songti SC" w:hAnsi="Songti SC" w:eastAsia="Songti SC"/>
              </w:rPr>
            </w:pPr>
            <w:r>
              <w:rPr>
                <w:rStyle w:val="12"/>
                <w:rFonts w:ascii="Songti SC" w:hAnsi="Songti SC" w:eastAsia="Songti SC" w:cs="黑体"/>
                <w:sz w:val="22"/>
                <w:szCs w:val="22"/>
                <w:lang w:eastAsia="zh-CN"/>
              </w:rPr>
              <w:t>心理危机</w:t>
            </w:r>
            <w:r>
              <w:rPr>
                <w:rStyle w:val="12"/>
                <w:rFonts w:hint="default" w:ascii="Songti SC" w:hAnsi="Songti SC" w:eastAsia="Songti SC" w:cs="黑体"/>
                <w:sz w:val="22"/>
                <w:szCs w:val="22"/>
                <w:lang w:eastAsia="zh-CN"/>
              </w:rPr>
              <w:t>干预</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危机评估与干预是咨询师的基本能力之一。该课程包括如何在心理咨询中进行危机（自杀、自伤等）的评估和干预，旨在保证咨询师的胜任力。</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Fonts w:hint="default" w:ascii="Songti SC" w:hAnsi="Songti SC" w:eastAsia="Songti SC"/>
              </w:rPr>
            </w:pPr>
            <w:r>
              <w:rPr>
                <w:rStyle w:val="12"/>
                <w:rFonts w:ascii="Songti SC" w:hAnsi="Songti SC" w:eastAsia="Songti SC"/>
                <w:sz w:val="22"/>
                <w:szCs w:val="22"/>
                <w:lang w:val="en-US"/>
              </w:rPr>
              <w:t>16</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r>
              <w:rPr>
                <w:rFonts w:ascii="Songti SC" w:hAnsi="Songti SC" w:eastAsia="Songti SC"/>
                <w:szCs w:val="20"/>
              </w:rPr>
              <w:t>心理咨询理论与实务</w:t>
            </w:r>
            <w:r>
              <w:rPr>
                <w:rFonts w:hint="eastAsia" w:ascii="Songti SC" w:hAnsi="Songti SC" w:eastAsia="Songti SC"/>
                <w:szCs w:val="20"/>
              </w:rPr>
              <w:t>高阶-针对常见心理障碍的专题学习</w:t>
            </w:r>
          </w:p>
          <w:p>
            <w:pPr>
              <w:jc w:val="center"/>
              <w:rPr>
                <w:rFonts w:ascii="Songti SC" w:hAnsi="Songti SC" w:eastAsia="Songti SC"/>
                <w:szCs w:val="20"/>
              </w:rPr>
            </w:pPr>
            <w:r>
              <w:rPr>
                <w:rFonts w:ascii="Songti SC" w:hAnsi="Songti SC" w:eastAsia="Songti SC"/>
                <w:szCs w:val="20"/>
              </w:rPr>
              <w:t>(160</w:t>
            </w:r>
            <w:r>
              <w:rPr>
                <w:rFonts w:hint="eastAsia" w:ascii="Songti SC" w:hAnsi="Songti SC" w:eastAsia="Songti SC"/>
                <w:szCs w:val="20"/>
              </w:rPr>
              <w:t>学时</w:t>
            </w:r>
            <w:r>
              <w:rPr>
                <w:rFonts w:ascii="Songti SC" w:hAnsi="Songti SC" w:eastAsia="Songti SC"/>
                <w:szCs w:val="20"/>
              </w:rPr>
              <w:t>)</w:t>
            </w: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Fonts w:ascii="Songti SC" w:hAnsi="Songti SC" w:eastAsia="Songti SC"/>
                <w:sz w:val="22"/>
                <w:szCs w:val="22"/>
                <w:lang w:eastAsia="zh-CN"/>
              </w:rPr>
              <w:t>心境障碍专题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心境障碍是常见的心理问题之一。本课程包含对抑郁、双向障碍、环形心境障碍、恶劣心境障碍及混合发作的临床评估和干预方法。干预方法包括认知疗法、</w:t>
            </w:r>
            <w:r>
              <w:rPr>
                <w:rStyle w:val="12"/>
                <w:rFonts w:ascii="Songti SC" w:hAnsi="Songti SC" w:eastAsia="Songti SC" w:cs="黑体"/>
                <w:lang w:eastAsia="zh-CN"/>
              </w:rPr>
              <w:t>接纳承诺疗法等。</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hint="default" w:ascii="Songti SC" w:hAnsi="Songti SC" w:eastAsia="Songti SC"/>
                <w:sz w:val="22"/>
                <w:szCs w:val="22"/>
                <w:lang w:val="en-US" w:eastAsia="zh-CN"/>
              </w:rPr>
              <w:t>24</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Fonts w:hint="default" w:ascii="Songti SC" w:hAnsi="Songti SC" w:eastAsia="Songti SC"/>
                <w:lang w:eastAsia="zh-CN"/>
              </w:rPr>
            </w:pPr>
            <w:r>
              <w:rPr>
                <w:rStyle w:val="12"/>
                <w:rFonts w:ascii="Songti SC" w:hAnsi="Songti SC" w:eastAsia="Songti SC" w:cs="黑体"/>
                <w:sz w:val="22"/>
                <w:szCs w:val="22"/>
              </w:rPr>
              <w:t>焦虑强迫专题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highlight w:val="yellow"/>
                <w:lang w:eastAsia="zh-CN"/>
              </w:rPr>
            </w:pPr>
            <w:r>
              <w:rPr>
                <w:rFonts w:ascii="Songti SC" w:hAnsi="Songti SC" w:eastAsia="Songti SC"/>
                <w:lang w:eastAsia="zh-CN"/>
              </w:rPr>
              <w:t>包含对各类焦虑障碍和强迫及相关障碍的评估和干预。</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2</w:t>
            </w:r>
            <w:r>
              <w:rPr>
                <w:rStyle w:val="12"/>
                <w:rFonts w:hint="default" w:ascii="Songti SC" w:hAnsi="Songti SC" w:eastAsia="Songti SC"/>
                <w:sz w:val="22"/>
                <w:szCs w:val="22"/>
                <w:lang w:val="en-US" w:eastAsia="zh-CN"/>
              </w:rPr>
              <w:t>4</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rPr>
            </w:pPr>
            <w:r>
              <w:rPr>
                <w:rStyle w:val="12"/>
                <w:rFonts w:ascii="Songti SC" w:hAnsi="Songti SC" w:eastAsia="Songti SC" w:cs="黑体"/>
                <w:sz w:val="22"/>
                <w:szCs w:val="22"/>
              </w:rPr>
              <w:t>儿童青少年专题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Style w:val="12"/>
                <w:rFonts w:ascii="Songti SC" w:hAnsi="Songti SC" w:eastAsia="Songti SC" w:cs="黑体"/>
                <w:lang w:eastAsia="zh-CN"/>
              </w:rPr>
              <w:t>包含对儿童青少年常见心理问题（如ADHD，厌学，自闭等）的评估与干预</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2</w:t>
            </w:r>
            <w:r>
              <w:rPr>
                <w:rStyle w:val="12"/>
                <w:rFonts w:hint="default" w:ascii="Songti SC" w:hAnsi="Songti SC" w:eastAsia="Songti SC"/>
                <w:sz w:val="22"/>
                <w:szCs w:val="22"/>
                <w:lang w:val="en-US" w:eastAsia="zh-CN"/>
              </w:rPr>
              <w:t>4</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rPr>
            </w:pPr>
            <w:r>
              <w:rPr>
                <w:rStyle w:val="12"/>
                <w:rFonts w:ascii="Songti SC" w:hAnsi="Songti SC" w:eastAsia="Songti SC" w:cs="黑体"/>
                <w:sz w:val="22"/>
                <w:szCs w:val="22"/>
              </w:rPr>
              <w:t>人际关系专题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对常见人际压力，亲密关系议题的干预</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hint="default" w:ascii="Songti SC" w:hAnsi="Songti SC" w:eastAsia="Songti SC"/>
                <w:sz w:val="22"/>
                <w:szCs w:val="22"/>
                <w:lang w:val="en-US" w:eastAsia="zh-CN"/>
              </w:rPr>
              <w:t>24</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rPr>
            </w:pPr>
            <w:r>
              <w:rPr>
                <w:rStyle w:val="12"/>
                <w:rFonts w:ascii="Songti SC" w:hAnsi="Songti SC" w:eastAsia="Songti SC" w:cs="黑体"/>
                <w:sz w:val="22"/>
                <w:szCs w:val="22"/>
              </w:rPr>
              <w:t>进食障碍专题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对神经性贪食症、神经性厌食症及暴食症的临床评估及干预。</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6</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rPr>
            </w:pPr>
            <w:r>
              <w:rPr>
                <w:rStyle w:val="12"/>
                <w:rFonts w:ascii="Songti SC" w:hAnsi="Songti SC" w:eastAsia="Songti SC" w:cs="黑体"/>
                <w:sz w:val="22"/>
                <w:szCs w:val="22"/>
              </w:rPr>
              <w:t>创伤专题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对有创伤经历的个案、以及对创伤后应激障碍症状的评估及干预方法的学习。</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6</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rPr>
            </w:pPr>
            <w:r>
              <w:rPr>
                <w:rFonts w:ascii="Songti SC" w:hAnsi="Songti SC" w:eastAsia="Songti SC"/>
                <w:sz w:val="22"/>
                <w:szCs w:val="22"/>
                <w:lang w:eastAsia="zh-CN"/>
              </w:rPr>
              <w:t>成瘾专题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left"/>
              <w:rPr>
                <w:rFonts w:hint="default" w:ascii="Songti SC" w:hAnsi="Songti SC" w:eastAsia="Songti SC"/>
                <w:lang w:eastAsia="zh-CN"/>
              </w:rPr>
            </w:pPr>
            <w:r>
              <w:rPr>
                <w:rFonts w:ascii="Songti SC" w:hAnsi="Songti SC" w:eastAsia="Songti SC"/>
                <w:lang w:eastAsia="zh-CN"/>
              </w:rPr>
              <w:t>对于成瘾问题（酒精、药物、行为成瘾等）的评估及干预。</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6</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Fonts w:hint="default" w:ascii="Songti SC" w:hAnsi="Songti SC" w:eastAsia="Songti SC"/>
                <w:sz w:val="22"/>
                <w:szCs w:val="22"/>
                <w:lang w:eastAsia="zh-CN"/>
              </w:rPr>
            </w:pPr>
            <w:r>
              <w:rPr>
                <w:rFonts w:ascii="Songti SC" w:hAnsi="Songti SC" w:eastAsia="Songti SC"/>
                <w:sz w:val="22"/>
                <w:szCs w:val="22"/>
                <w:lang w:eastAsia="zh-CN"/>
              </w:rPr>
              <w:t>人格障碍专题</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left"/>
              <w:rPr>
                <w:rFonts w:hint="default" w:ascii="Songti SC" w:hAnsi="Songti SC" w:eastAsia="Songti SC"/>
                <w:lang w:eastAsia="zh-CN"/>
              </w:rPr>
            </w:pPr>
            <w:r>
              <w:rPr>
                <w:rFonts w:ascii="Songti SC" w:hAnsi="Songti SC" w:eastAsia="Songti SC"/>
                <w:lang w:eastAsia="zh-CN"/>
              </w:rPr>
              <w:t>对常见的人格障碍（边缘型、偏执型、精神分裂、反社会等等）的鉴别、评估及干预。</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r>
              <w:rPr>
                <w:rStyle w:val="12"/>
                <w:rFonts w:hint="default" w:ascii="Songti SC" w:hAnsi="Songti SC" w:eastAsia="Songti SC"/>
                <w:sz w:val="22"/>
                <w:szCs w:val="22"/>
                <w:lang w:val="en-US" w:eastAsia="zh-CN"/>
              </w:rPr>
              <w:t>6</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szCs w:val="22"/>
                <w:lang w:val="en-US" w:eastAsia="zh-CN"/>
              </w:rPr>
            </w:pPr>
            <w:r>
              <w:rPr>
                <w:rStyle w:val="12"/>
                <w:rFonts w:ascii="Songti SC" w:hAnsi="Songti SC" w:eastAsia="Songti SC"/>
                <w:sz w:val="22"/>
                <w:szCs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restart"/>
            <w:tcBorders>
              <w:top w:val="single" w:color="000000" w:sz="4" w:space="0"/>
              <w:left w:val="single" w:color="000000" w:sz="4" w:space="0"/>
              <w:right w:val="single" w:color="000000" w:sz="4" w:space="0"/>
            </w:tcBorders>
            <w:shd w:val="clear" w:color="auto" w:fill="auto"/>
            <w:vAlign w:val="center"/>
          </w:tcPr>
          <w:p>
            <w:pPr>
              <w:jc w:val="center"/>
              <w:rPr>
                <w:rFonts w:ascii="Songti SC" w:hAnsi="Songti SC" w:eastAsia="宋体"/>
                <w:szCs w:val="20"/>
              </w:rPr>
            </w:pPr>
            <w:r>
              <w:rPr>
                <w:rFonts w:hint="eastAsia" w:ascii="Songti SC" w:hAnsi="Songti SC" w:eastAsia="Songti SC"/>
                <w:szCs w:val="20"/>
              </w:rPr>
              <w:t>临床与咨询实践</w:t>
            </w:r>
            <w:r>
              <w:rPr>
                <w:rFonts w:ascii="Arial" w:hAnsi="Arial" w:cs="Arial"/>
                <w:color w:val="333333"/>
                <w:shd w:val="clear" w:color="auto" w:fill="FFFFFF"/>
              </w:rPr>
              <w:t>≥</w:t>
            </w:r>
            <w:r>
              <w:rPr>
                <w:rFonts w:hint="eastAsia" w:ascii="Arial" w:hAnsi="Arial" w:eastAsia="宋体" w:cs="Arial"/>
                <w:color w:val="333333"/>
                <w:shd w:val="clear" w:color="auto" w:fill="FFFFFF"/>
              </w:rPr>
              <w:t>300小时</w:t>
            </w:r>
          </w:p>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心理服务见习</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val="en-US" w:eastAsia="zh-CN"/>
              </w:rPr>
            </w:pPr>
            <w:r>
              <w:rPr>
                <w:rFonts w:ascii="Songti SC" w:hAnsi="Songti SC" w:eastAsia="Songti SC"/>
                <w:lang w:eastAsia="zh-CN"/>
              </w:rPr>
              <w:t>在精神专科或心理咨询中心进行见习，结合心理病理学对心理健康服务服务过程进行实际观模和交流学习</w:t>
            </w:r>
            <w:r>
              <w:rPr>
                <w:rFonts w:ascii="Songti SC" w:hAnsi="Songti SC" w:eastAsia="Songti SC"/>
                <w:lang w:val="en-US" w:eastAsia="zh-CN"/>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ind w:firstLine="300" w:firstLineChars="150"/>
              <w:rPr>
                <w:rStyle w:val="12"/>
                <w:rFonts w:ascii="Songti SC" w:hAnsi="Songti SC" w:eastAsia="Songti SC"/>
                <w:sz w:val="22"/>
                <w:szCs w:val="22"/>
              </w:rPr>
            </w:pPr>
            <w:r>
              <w:rPr>
                <w:rFonts w:ascii="Arial" w:hAnsi="Arial" w:eastAsia="Arial Unicode MS" w:cs="Arial Unicode MS"/>
                <w:color w:val="000000"/>
                <w:sz w:val="20"/>
                <w:szCs w:val="20"/>
                <w:u w:color="000000"/>
                <w:shd w:val="clear" w:color="auto" w:fill="FFFFFF"/>
                <w:lang w:val="zh-TW" w:eastAsia="zh-TW"/>
              </w:rPr>
              <w:t>≥50</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Fonts w:hint="default" w:ascii="Arial" w:hAnsi="Arial" w:cs="Arial"/>
                <w:color w:val="333333"/>
                <w:shd w:val="clear" w:color="auto" w:fill="FFFFFF"/>
                <w:lang w:eastAsia="zh-CN"/>
              </w:rPr>
            </w:pPr>
            <w:r>
              <w:rPr>
                <w:rFonts w:hint="default" w:ascii="Arial" w:hAnsi="Arial" w:cs="Arial"/>
                <w:color w:val="333333"/>
                <w:shd w:val="clear" w:color="auto" w:fill="FFFFFF"/>
                <w:lang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临床与咨询专业实习I</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val="en-US" w:eastAsia="zh-CN"/>
              </w:rPr>
            </w:pPr>
            <w:r>
              <w:rPr>
                <w:rFonts w:ascii="Songti SC" w:hAnsi="Songti SC" w:eastAsia="Songti SC"/>
                <w:lang w:eastAsia="zh-CN"/>
              </w:rPr>
              <w:t>心理健康与服务中心内部实习，聚焦基础咨询实务技能的练习。</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lang w:val="en-US"/>
              </w:rPr>
            </w:pPr>
            <w:r>
              <w:rPr>
                <w:rFonts w:ascii="Arial" w:hAnsi="Arial" w:cs="Arial"/>
                <w:color w:val="333333"/>
                <w:shd w:val="clear" w:color="auto" w:fill="FFFFFF"/>
              </w:rPr>
              <w:t>≥</w:t>
            </w:r>
            <w:r>
              <w:rPr>
                <w:rFonts w:ascii="Arial" w:hAnsi="Arial"/>
                <w:shd w:val="clear" w:color="auto" w:fill="FFFFFF"/>
              </w:rPr>
              <w:t>3</w:t>
            </w:r>
            <w:r>
              <w:rPr>
                <w:rStyle w:val="12"/>
                <w:rFonts w:hint="default" w:ascii="Songti SC" w:hAnsi="Songti SC" w:eastAsia="Songti SC"/>
                <w:sz w:val="22"/>
                <w:szCs w:val="22"/>
                <w:lang w:val="en-US"/>
              </w:rPr>
              <w:t>0</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Fonts w:hint="default" w:ascii="Arial" w:hAnsi="Arial" w:cs="Arial"/>
                <w:color w:val="333333"/>
                <w:shd w:val="clear" w:color="auto" w:fill="FFFFFF"/>
                <w:lang w:eastAsia="zh-CN"/>
              </w:rPr>
            </w:pPr>
            <w:r>
              <w:rPr>
                <w:rFonts w:hint="default" w:ascii="Arial" w:hAnsi="Arial" w:cs="Arial"/>
                <w:color w:val="333333"/>
                <w:shd w:val="clear" w:color="auto" w:fill="FFFFFF"/>
                <w:lang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临床与咨询专业实习II</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val="en-US" w:eastAsia="zh-CN"/>
              </w:rPr>
              <w:t>高校，中小学，社区或医院等特定方向，发展针对特定人群的实务专长。</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lang w:val="en-US"/>
              </w:rPr>
            </w:pPr>
            <w:r>
              <w:rPr>
                <w:rFonts w:ascii="Arial" w:hAnsi="Arial" w:cs="Arial"/>
                <w:color w:val="333333"/>
                <w:shd w:val="clear" w:color="auto" w:fill="FFFFFF"/>
              </w:rPr>
              <w:t>≥</w:t>
            </w:r>
            <w:r>
              <w:rPr>
                <w:rFonts w:ascii="Arial" w:hAnsi="Arial"/>
                <w:shd w:val="clear" w:color="auto" w:fill="FFFFFF"/>
              </w:rPr>
              <w:t>7</w:t>
            </w:r>
            <w:r>
              <w:rPr>
                <w:rStyle w:val="12"/>
                <w:rFonts w:hint="default" w:ascii="Songti SC" w:hAnsi="Songti SC" w:eastAsia="Songti SC"/>
                <w:sz w:val="22"/>
                <w:szCs w:val="22"/>
                <w:lang w:val="en-US"/>
              </w:rPr>
              <w:t>0</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Fonts w:hint="default" w:ascii="Arial" w:hAnsi="Arial" w:cs="Arial"/>
                <w:color w:val="333333"/>
                <w:shd w:val="clear" w:color="auto" w:fill="FFFFFF"/>
                <w:lang w:eastAsia="zh-CN"/>
              </w:rPr>
            </w:pPr>
            <w:r>
              <w:rPr>
                <w:rFonts w:hint="default" w:ascii="Arial" w:hAnsi="Arial" w:cs="Arial"/>
                <w:color w:val="333333"/>
                <w:shd w:val="clear" w:color="auto" w:fill="FFFFFF"/>
                <w:lang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临床与咨询专业实习III</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lang w:eastAsia="zh-CN"/>
              </w:rPr>
            </w:pPr>
            <w:r>
              <w:rPr>
                <w:rFonts w:ascii="Songti SC" w:hAnsi="Songti SC" w:eastAsia="Songti SC"/>
                <w:lang w:eastAsia="zh-CN"/>
              </w:rPr>
              <w:t>选择符合自身兴趣的外部实习基地进一步巩固深化实务技能。</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szCs w:val="22"/>
                <w:lang w:val="en-US" w:eastAsia="zh-CN"/>
              </w:rPr>
            </w:pPr>
            <w:r>
              <w:rPr>
                <w:rFonts w:ascii="Arial" w:hAnsi="Arial" w:cs="Arial"/>
                <w:color w:val="333333"/>
                <w:shd w:val="clear" w:color="auto" w:fill="FFFFFF"/>
              </w:rPr>
              <w:t>≥</w:t>
            </w:r>
            <w:r>
              <w:rPr>
                <w:rFonts w:ascii="Arial" w:hAnsi="Arial"/>
                <w:shd w:val="clear" w:color="auto" w:fill="FFFFFF"/>
              </w:rPr>
              <w:t>5</w:t>
            </w:r>
            <w:r>
              <w:rPr>
                <w:rStyle w:val="12"/>
                <w:rFonts w:hint="default" w:ascii="Songti SC" w:hAnsi="Songti SC" w:eastAsia="Songti SC"/>
                <w:sz w:val="22"/>
                <w:szCs w:val="22"/>
                <w:lang w:val="en-US"/>
              </w:rPr>
              <w:t>0</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Fonts w:hint="default" w:ascii="Arial" w:hAnsi="Arial" w:cs="Arial"/>
                <w:color w:val="333333"/>
                <w:shd w:val="clear" w:color="auto" w:fill="FFFFFF"/>
                <w:lang w:val="en-US"/>
              </w:rPr>
            </w:pPr>
            <w:r>
              <w:rPr>
                <w:rStyle w:val="12"/>
                <w:rFonts w:hint="default" w:ascii="Songti SC" w:hAnsi="Songti SC" w:eastAsia="Songti SC"/>
                <w:sz w:val="22"/>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3" w:hRule="atLeast"/>
          <w:jc w:val="center"/>
        </w:trPr>
        <w:tc>
          <w:tcPr>
            <w:tcW w:w="767" w:type="pct"/>
            <w:tcBorders>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p>
        </w:tc>
        <w:tc>
          <w:tcPr>
            <w:tcW w:w="161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r>
              <w:rPr>
                <w:rStyle w:val="12"/>
                <w:rFonts w:ascii="Songti SC" w:hAnsi="Songti SC" w:eastAsia="Songti SC" w:cs="黑体"/>
                <w:sz w:val="22"/>
                <w:szCs w:val="22"/>
                <w:lang w:eastAsia="zh-CN"/>
              </w:rPr>
              <w:t>临床督导</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rPr>
                <w:rFonts w:hint="default" w:ascii="Songti SC" w:hAnsi="Songti SC" w:eastAsia="Songti SC"/>
                <w:lang w:val="en-US" w:eastAsia="zh-CN"/>
              </w:rPr>
            </w:pPr>
            <w:r>
              <w:rPr>
                <w:rFonts w:ascii="Songti SC" w:hAnsi="Songti SC" w:eastAsia="Songti SC"/>
                <w:lang w:val="en-US" w:eastAsia="zh-CN"/>
              </w:rPr>
              <w:t>含个体和团体督导</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Style w:val="12"/>
                <w:rFonts w:hint="default" w:ascii="Songti SC" w:hAnsi="Songti SC" w:eastAsia="Songti SC"/>
                <w:sz w:val="22"/>
                <w:lang w:val="en-US" w:eastAsia="zh-CN"/>
              </w:rPr>
            </w:pPr>
            <w:r>
              <w:rPr>
                <w:rFonts w:ascii="Arial" w:hAnsi="Arial" w:cs="Arial"/>
                <w:color w:val="333333"/>
                <w:shd w:val="clear" w:color="auto" w:fill="FFFFFF"/>
              </w:rPr>
              <w:t>≥</w:t>
            </w:r>
            <w:r>
              <w:rPr>
                <w:rFonts w:ascii="Arial" w:hAnsi="Arial"/>
                <w:shd w:val="clear" w:color="auto" w:fill="FFFFFF"/>
              </w:rPr>
              <w:t>1</w:t>
            </w:r>
            <w:r>
              <w:rPr>
                <w:rFonts w:hint="default" w:ascii="Arial" w:hAnsi="Arial"/>
                <w:shd w:val="clear" w:color="auto" w:fill="FFFFFF"/>
                <w:lang w:val="en-US"/>
              </w:rPr>
              <w:t>00</w:t>
            </w:r>
          </w:p>
        </w:tc>
        <w:tc>
          <w:tcPr>
            <w:tcW w:w="430" w:type="pct"/>
            <w:tcBorders>
              <w:top w:val="single" w:color="000000" w:sz="4" w:space="0"/>
              <w:left w:val="single" w:color="000000" w:sz="4" w:space="0"/>
              <w:bottom w:val="single" w:color="000000" w:sz="4" w:space="0"/>
              <w:right w:val="single" w:color="000000" w:sz="4" w:space="0"/>
            </w:tcBorders>
            <w:shd w:val="clear" w:color="auto" w:fill="CED7E7"/>
            <w:vAlign w:val="center"/>
          </w:tcPr>
          <w:p>
            <w:pPr>
              <w:pStyle w:val="11"/>
              <w:widowControl/>
              <w:tabs>
                <w:tab w:val="left" w:pos="420"/>
              </w:tabs>
              <w:jc w:val="center"/>
              <w:rPr>
                <w:rStyle w:val="12"/>
                <w:rFonts w:hint="default" w:ascii="Songti SC" w:hAnsi="Songti SC" w:eastAsia="Songti SC"/>
                <w:sz w:val="22"/>
                <w:lang w:val="en-US"/>
              </w:rPr>
            </w:pPr>
            <w:r>
              <w:rPr>
                <w:rStyle w:val="12"/>
                <w:rFonts w:hint="default" w:ascii="Songti SC" w:hAnsi="Songti SC"/>
                <w:lang w:val="en-US"/>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3"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Songti SC" w:hAnsi="Songti SC" w:eastAsia="Songti SC"/>
                <w:szCs w:val="20"/>
              </w:rPr>
            </w:pPr>
            <w:r>
              <w:rPr>
                <w:rFonts w:hint="eastAsia" w:ascii="Songti SC" w:hAnsi="Songti SC" w:eastAsia="Songti SC"/>
                <w:szCs w:val="20"/>
              </w:rPr>
              <w:t>合计</w:t>
            </w:r>
          </w:p>
        </w:tc>
        <w:tc>
          <w:tcPr>
            <w:tcW w:w="1612" w:type="pct"/>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 w:val="left" w:pos="1680"/>
                <w:tab w:val="left" w:pos="2100"/>
                <w:tab w:val="left" w:pos="2520"/>
                <w:tab w:val="left" w:pos="2940"/>
                <w:tab w:val="left" w:pos="3360"/>
              </w:tabs>
              <w:jc w:val="center"/>
              <w:rPr>
                <w:rStyle w:val="12"/>
                <w:rFonts w:hint="default" w:ascii="Songti SC" w:hAnsi="Songti SC" w:eastAsia="Songti SC" w:cs="黑体"/>
                <w:sz w:val="22"/>
                <w:szCs w:val="22"/>
                <w:lang w:eastAsia="zh-CN"/>
              </w:rPr>
            </w:pPr>
          </w:p>
        </w:tc>
        <w:tc>
          <w:tcPr>
            <w:tcW w:w="1605" w:type="pct"/>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 w:val="left" w:pos="840"/>
                <w:tab w:val="left" w:pos="1260"/>
              </w:tabs>
              <w:jc w:val="left"/>
              <w:rPr>
                <w:rFonts w:hint="default" w:ascii="Songti SC" w:hAnsi="Songti SC" w:eastAsia="Songti SC"/>
              </w:rPr>
            </w:pPr>
          </w:p>
        </w:tc>
        <w:tc>
          <w:tcPr>
            <w:tcW w:w="586" w:type="pct"/>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pStyle w:val="11"/>
              <w:widowControl/>
              <w:tabs>
                <w:tab w:val="left" w:pos="420"/>
              </w:tabs>
              <w:jc w:val="center"/>
              <w:rPr>
                <w:rFonts w:hint="default" w:ascii="Arial" w:hAnsi="Arial" w:cs="Arial"/>
                <w:color w:val="333333"/>
                <w:shd w:val="clear" w:color="auto" w:fill="FFFFFF"/>
              </w:rPr>
            </w:pPr>
            <w:r>
              <w:rPr>
                <w:rFonts w:ascii="Arial" w:hAnsi="Arial"/>
                <w:shd w:val="clear" w:color="auto" w:fill="FFFFFF"/>
              </w:rPr>
              <w:t>≥</w:t>
            </w:r>
            <w:r>
              <w:rPr>
                <w:rFonts w:hint="default" w:ascii="Arial" w:hAnsi="Arial"/>
                <w:shd w:val="clear" w:color="auto" w:fill="FFFFFF"/>
                <w:lang w:eastAsia="zh-CN"/>
              </w:rPr>
              <w:t>7</w:t>
            </w:r>
            <w:r>
              <w:rPr>
                <w:rFonts w:hint="default" w:ascii="Arial" w:hAnsi="Arial"/>
                <w:shd w:val="clear" w:color="auto" w:fill="FFFFFF"/>
              </w:rPr>
              <w:t>64</w:t>
            </w:r>
          </w:p>
        </w:tc>
        <w:tc>
          <w:tcPr>
            <w:tcW w:w="430" w:type="pct"/>
            <w:tcBorders>
              <w:top w:val="single" w:color="000000" w:sz="4" w:space="0"/>
              <w:left w:val="single" w:color="000000" w:sz="4" w:space="0"/>
              <w:bottom w:val="single" w:color="auto" w:sz="4" w:space="0"/>
              <w:right w:val="single" w:color="000000" w:sz="4" w:space="0"/>
            </w:tcBorders>
            <w:shd w:val="clear" w:color="auto" w:fill="auto"/>
            <w:vAlign w:val="center"/>
          </w:tcPr>
          <w:p>
            <w:pPr>
              <w:pStyle w:val="11"/>
              <w:widowControl/>
              <w:tabs>
                <w:tab w:val="left" w:pos="420"/>
              </w:tabs>
              <w:jc w:val="center"/>
              <w:rPr>
                <w:rFonts w:hint="default" w:ascii="Arial" w:hAnsi="Arial" w:cs="Arial"/>
                <w:color w:val="333333"/>
                <w:shd w:val="clear" w:color="auto" w:fill="FFFFFF"/>
                <w:lang w:val="en-US"/>
              </w:rPr>
            </w:pPr>
            <w:r>
              <w:rPr>
                <w:rFonts w:hint="default" w:ascii="Arial" w:hAnsi="Arial" w:cs="Arial"/>
                <w:color w:val="333333"/>
                <w:shd w:val="clear" w:color="auto" w:fill="FFFFFF"/>
                <w:lang w:eastAsia="zh-CN"/>
              </w:rPr>
              <w:t>3</w:t>
            </w:r>
            <w:r>
              <w:rPr>
                <w:rFonts w:hint="default" w:ascii="Arial" w:hAnsi="Arial" w:cs="Arial"/>
                <w:color w:val="333333"/>
                <w:shd w:val="clear" w:color="auto" w:fill="FFFFFF"/>
                <w:lang w:val="en-US" w:eastAsia="zh-CN"/>
              </w:rPr>
              <w:t>4</w:t>
            </w:r>
          </w:p>
        </w:tc>
      </w:tr>
    </w:tbl>
    <w:p>
      <w:pPr>
        <w:rPr>
          <w:rFonts w:ascii="黑体" w:hAnsi="黑体" w:eastAsia="黑体" w:cs="宋体"/>
          <w:color w:val="112233"/>
          <w:sz w:val="30"/>
          <w:szCs w:val="30"/>
        </w:rPr>
      </w:pPr>
      <w:r>
        <w:rPr>
          <w:rFonts w:ascii="黑体" w:hAnsi="黑体" w:eastAsia="黑体" w:cs="宋体"/>
          <w:color w:val="112233"/>
          <w:sz w:val="30"/>
          <w:szCs w:val="30"/>
        </w:rPr>
        <w:br w:type="page"/>
      </w:r>
    </w:p>
    <w:p>
      <w:pPr>
        <w:spacing w:line="360" w:lineRule="auto"/>
        <w:rPr>
          <w:rFonts w:ascii="黑体" w:hAnsi="黑体" w:eastAsia="黑体" w:cs="宋体"/>
          <w:color w:val="112233"/>
          <w:sz w:val="30"/>
          <w:szCs w:val="30"/>
        </w:rPr>
      </w:pPr>
      <w:r>
        <w:rPr>
          <w:rFonts w:hint="eastAsia" w:ascii="黑体" w:hAnsi="黑体" w:eastAsia="黑体" w:cs="宋体"/>
          <w:color w:val="112233"/>
          <w:sz w:val="30"/>
          <w:szCs w:val="30"/>
        </w:rPr>
        <w:t>附件2：师资队伍</w:t>
      </w:r>
    </w:p>
    <w:p>
      <w:pPr>
        <w:tabs>
          <w:tab w:val="left" w:pos="426"/>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rPr>
          <w:rFonts w:ascii="宋体" w:hAnsi="宋体" w:eastAsia="宋体" w:cs="宋体"/>
          <w:color w:val="112233"/>
        </w:rPr>
      </w:pPr>
      <w:r>
        <w:rPr>
          <w:rFonts w:hint="eastAsia" w:ascii="宋体" w:hAnsi="宋体" w:eastAsia="宋体" w:cs="宋体"/>
          <w:color w:val="112233"/>
        </w:rPr>
        <w:t>本课程由国内外多所高校资深心理咨询领域专家设计并授课。部分师资如下（教师姓名按拼音首字母排序）：</w:t>
      </w:r>
    </w:p>
    <w:p>
      <w:pPr>
        <w:pStyle w:val="14"/>
        <w:tabs>
          <w:tab w:val="left" w:pos="567"/>
        </w:tabs>
        <w:spacing w:line="360" w:lineRule="auto"/>
        <w:ind w:left="424" w:leftChars="171" w:hanging="14" w:hangingChars="6"/>
        <w:rPr>
          <w:color w:val="112233"/>
        </w:rPr>
      </w:pPr>
      <w:r>
        <w:rPr>
          <w:b/>
          <w:color w:val="112233"/>
        </w:rPr>
        <w:t>Robert N. Portnoy</w:t>
      </w:r>
      <w:r>
        <w:rPr>
          <w:rFonts w:hint="eastAsia"/>
          <w:b/>
          <w:color w:val="112233"/>
        </w:rPr>
        <w:t>：</w:t>
      </w:r>
      <w:r>
        <w:rPr>
          <w:color w:val="112233"/>
        </w:rPr>
        <w:t xml:space="preserve"> </w:t>
      </w:r>
      <w:r>
        <w:rPr>
          <w:rFonts w:hint="eastAsia"/>
          <w:color w:val="112233"/>
        </w:rPr>
        <w:t>北京师范大学心理学部特聘专家教授、北京师范大学心理学部心理健康服务中心总督导、</w:t>
      </w:r>
      <w:r>
        <w:rPr>
          <w:color w:val="112233"/>
        </w:rPr>
        <w:t>美国内布拉斯加大学林肯分校心理健康中</w:t>
      </w:r>
      <w:r>
        <w:rPr>
          <w:rFonts w:hint="eastAsia"/>
          <w:color w:val="112233"/>
        </w:rPr>
        <w:t>心前主任。</w:t>
      </w:r>
    </w:p>
    <w:p>
      <w:pPr>
        <w:pStyle w:val="14"/>
        <w:tabs>
          <w:tab w:val="left" w:pos="567"/>
        </w:tabs>
        <w:spacing w:line="360" w:lineRule="auto"/>
        <w:ind w:left="424" w:leftChars="171" w:hanging="14" w:hangingChars="6"/>
        <w:rPr>
          <w:color w:val="112233"/>
        </w:rPr>
      </w:pPr>
      <w:r>
        <w:rPr>
          <w:b/>
          <w:color w:val="112233"/>
        </w:rPr>
        <w:t>陈师韬</w:t>
      </w:r>
      <w:r>
        <w:rPr>
          <w:rFonts w:hint="eastAsia"/>
          <w:b/>
          <w:color w:val="112233"/>
        </w:rPr>
        <w:t>：</w:t>
      </w:r>
      <w:r>
        <w:rPr>
          <w:color w:val="112233"/>
        </w:rPr>
        <w:t>印第安纳</w:t>
      </w:r>
      <w:r>
        <w:rPr>
          <w:rFonts w:hint="eastAsia"/>
          <w:color w:val="112233"/>
        </w:rPr>
        <w:t>大学伯明顿分校</w:t>
      </w:r>
      <w:r>
        <w:rPr>
          <w:color w:val="112233"/>
        </w:rPr>
        <w:t>学</w:t>
      </w:r>
      <w:r>
        <w:rPr>
          <w:rFonts w:hint="eastAsia"/>
          <w:color w:val="112233"/>
        </w:rPr>
        <w:t>校心理学博士、执照学校心理学家、北京师范大学心理学部临床与咨询心理学专业硕士生导师。</w:t>
      </w:r>
    </w:p>
    <w:p>
      <w:pPr>
        <w:pStyle w:val="14"/>
        <w:tabs>
          <w:tab w:val="left" w:pos="567"/>
        </w:tabs>
        <w:spacing w:line="360" w:lineRule="auto"/>
        <w:ind w:left="424" w:leftChars="171" w:hanging="14" w:hangingChars="6"/>
        <w:rPr>
          <w:color w:val="112233"/>
        </w:rPr>
      </w:pPr>
      <w:r>
        <w:rPr>
          <w:rFonts w:hint="eastAsia"/>
          <w:b/>
          <w:color w:val="112233"/>
        </w:rPr>
        <w:t>方晓义：</w:t>
      </w:r>
      <w:r>
        <w:rPr>
          <w:rFonts w:hint="eastAsia"/>
          <w:color w:val="112233"/>
        </w:rPr>
        <w:t>北京师范大学心理学部教授、博士生导师、长江学者特聘教授、中国心理学会理事、教育部社会科学委员会教育学和心理学部秘书长。</w:t>
      </w:r>
    </w:p>
    <w:p>
      <w:pPr>
        <w:pStyle w:val="14"/>
        <w:tabs>
          <w:tab w:val="left" w:pos="567"/>
        </w:tabs>
        <w:spacing w:line="360" w:lineRule="auto"/>
        <w:ind w:left="424" w:leftChars="171" w:hanging="14" w:hangingChars="6"/>
        <w:rPr>
          <w:color w:val="112233"/>
        </w:rPr>
      </w:pPr>
      <w:r>
        <w:rPr>
          <w:rFonts w:hint="eastAsia"/>
          <w:b/>
          <w:color w:val="112233"/>
        </w:rPr>
        <w:t>侯志瑾：</w:t>
      </w:r>
      <w:r>
        <w:rPr>
          <w:rFonts w:hint="eastAsia"/>
          <w:color w:val="112233"/>
        </w:rPr>
        <w:t>北京师范大学心理学部教授、博士生导师，中国心理学会临床与咨询专业委员会委员、注册系统伦理委员会副主任。</w:t>
      </w:r>
    </w:p>
    <w:p>
      <w:pPr>
        <w:pStyle w:val="14"/>
        <w:tabs>
          <w:tab w:val="left" w:pos="567"/>
        </w:tabs>
        <w:spacing w:line="360" w:lineRule="auto"/>
        <w:ind w:left="424" w:leftChars="171" w:hanging="14" w:hangingChars="6"/>
        <w:rPr>
          <w:color w:val="112233"/>
        </w:rPr>
      </w:pPr>
      <w:r>
        <w:rPr>
          <w:b/>
          <w:color w:val="112233"/>
        </w:rPr>
        <w:t>李非寒</w:t>
      </w:r>
      <w:r>
        <w:rPr>
          <w:rFonts w:hint="eastAsia"/>
          <w:b/>
          <w:color w:val="112233"/>
        </w:rPr>
        <w:t>：</w:t>
      </w:r>
      <w:r>
        <w:rPr>
          <w:rFonts w:hint="eastAsia"/>
          <w:color w:val="112233"/>
        </w:rPr>
        <w:t>美国密苏里大学咨询心理学博士、北京师范大学心理学部临床与咨询心理学专业硕士生导师。</w:t>
      </w:r>
    </w:p>
    <w:p>
      <w:pPr>
        <w:pStyle w:val="14"/>
        <w:tabs>
          <w:tab w:val="left" w:pos="567"/>
        </w:tabs>
        <w:spacing w:line="360" w:lineRule="auto"/>
        <w:ind w:left="424" w:leftChars="171" w:hanging="14" w:hangingChars="6"/>
        <w:rPr>
          <w:color w:val="112233"/>
        </w:rPr>
      </w:pPr>
      <w:r>
        <w:rPr>
          <w:rFonts w:hint="eastAsia"/>
          <w:b/>
          <w:color w:val="112233"/>
        </w:rPr>
        <w:t>林钗华：</w:t>
      </w:r>
      <w:r>
        <w:rPr>
          <w:rFonts w:hint="eastAsia"/>
          <w:color w:val="112233"/>
        </w:rPr>
        <w:t>美国普渡大学咨询心理学博士、北京师范大学心理学部临床与咨询心理学专业硕士生导师。</w:t>
      </w:r>
    </w:p>
    <w:p>
      <w:pPr>
        <w:pStyle w:val="14"/>
        <w:tabs>
          <w:tab w:val="left" w:pos="567"/>
        </w:tabs>
        <w:spacing w:line="360" w:lineRule="auto"/>
        <w:ind w:left="424" w:leftChars="171" w:hanging="14" w:hangingChars="6"/>
        <w:rPr>
          <w:color w:val="112233"/>
        </w:rPr>
      </w:pPr>
      <w:r>
        <w:rPr>
          <w:rFonts w:hint="eastAsia"/>
          <w:b/>
          <w:color w:val="112233"/>
        </w:rPr>
        <w:t>林丹华：</w:t>
      </w:r>
      <w:r>
        <w:rPr>
          <w:rFonts w:hint="eastAsia"/>
          <w:color w:val="112233"/>
        </w:rPr>
        <w:t>北京师范大学心理学部教授、副部长、博士生导师、中国心理学会发展心理学分会委员。担任《Health Psychology and Behavioral Medicine》杂志编委会编委，《AIDS Care》杂志、《BMC Public Health》、《心理学报》、《心理科学》、《心理发展与教育》和《心理科学进展》等杂志审稿人。担任中国人口宣传教育中心特聘专家，中国少先队工作学会理事，北京市教委德育处特聘专家等。</w:t>
      </w:r>
    </w:p>
    <w:p>
      <w:pPr>
        <w:pStyle w:val="14"/>
        <w:tabs>
          <w:tab w:val="left" w:pos="567"/>
        </w:tabs>
        <w:spacing w:line="360" w:lineRule="auto"/>
        <w:ind w:left="424" w:leftChars="171" w:hanging="14" w:hangingChars="6"/>
        <w:rPr>
          <w:color w:val="112233"/>
        </w:rPr>
      </w:pPr>
      <w:r>
        <w:rPr>
          <w:rFonts w:hint="eastAsia"/>
          <w:b/>
          <w:color w:val="112233"/>
        </w:rPr>
        <w:t>蔺秀云：</w:t>
      </w:r>
      <w:r>
        <w:rPr>
          <w:rFonts w:hint="eastAsia"/>
          <w:color w:val="112233"/>
        </w:rPr>
        <w:t>北京师范大学心理学部教授、博士生导师、中国教育学会教育心理学分会理事兼副秘书长、《心理发展与教育》杂志编委。</w:t>
      </w:r>
    </w:p>
    <w:p>
      <w:pPr>
        <w:pStyle w:val="14"/>
        <w:tabs>
          <w:tab w:val="left" w:pos="567"/>
        </w:tabs>
        <w:spacing w:line="360" w:lineRule="auto"/>
        <w:ind w:left="424" w:leftChars="171" w:hanging="14" w:hangingChars="6"/>
        <w:rPr>
          <w:color w:val="112233"/>
        </w:rPr>
      </w:pPr>
      <w:r>
        <w:rPr>
          <w:rFonts w:hint="eastAsia"/>
          <w:b/>
          <w:color w:val="112233"/>
        </w:rPr>
        <w:t>乔志宏：</w:t>
      </w:r>
      <w:r>
        <w:rPr>
          <w:b/>
          <w:color w:val="112233"/>
        </w:rPr>
        <w:t xml:space="preserve"> </w:t>
      </w:r>
      <w:r>
        <w:rPr>
          <w:rFonts w:hint="eastAsia"/>
          <w:color w:val="112233"/>
        </w:rPr>
        <w:t>北京师范大学心理学部教授、党委书记、博士生导师、心理学部临床与咨询心理学专业硕士负责人、北师大心理咨询与服务中心主任。</w:t>
      </w:r>
    </w:p>
    <w:p>
      <w:pPr>
        <w:pStyle w:val="14"/>
        <w:tabs>
          <w:tab w:val="left" w:pos="567"/>
        </w:tabs>
        <w:spacing w:line="360" w:lineRule="auto"/>
        <w:ind w:left="424" w:leftChars="171" w:hanging="14" w:hangingChars="6"/>
        <w:rPr>
          <w:color w:val="112233"/>
        </w:rPr>
      </w:pPr>
      <w:r>
        <w:rPr>
          <w:b/>
          <w:color w:val="112233"/>
        </w:rPr>
        <w:t>王建平</w:t>
      </w:r>
      <w:r>
        <w:rPr>
          <w:rFonts w:hint="eastAsia"/>
          <w:b/>
          <w:color w:val="112233"/>
        </w:rPr>
        <w:t>：</w:t>
      </w:r>
      <w:r>
        <w:rPr>
          <w:color w:val="112233"/>
        </w:rPr>
        <w:t xml:space="preserve"> </w:t>
      </w:r>
      <w:r>
        <w:rPr>
          <w:rFonts w:hint="eastAsia"/>
          <w:color w:val="112233"/>
        </w:rPr>
        <w:t>北京师范大学心理学部教授、博士生导师，精神医学医师。中国心理卫生协会认知行为治疗（CBT）专业委员会副主任委员，中国心理学会临床心理学注册工作委员会委员、注册工作组副组长，中国抗癌协会心理社会肿瘤学专业委员会第一届副主任委员。美国认知治疗学院（ACT）Fellow（中国大陆唯一）以及ACT认证CBT治疗师，中国第一批临床心理学注册督导师、创伤治疗师。</w:t>
      </w:r>
    </w:p>
    <w:p>
      <w:pPr>
        <w:pStyle w:val="14"/>
        <w:tabs>
          <w:tab w:val="left" w:pos="567"/>
        </w:tabs>
        <w:spacing w:line="360" w:lineRule="auto"/>
        <w:ind w:left="424" w:leftChars="171" w:hanging="14" w:hangingChars="6"/>
        <w:rPr>
          <w:color w:val="112233"/>
        </w:rPr>
      </w:pPr>
      <w:r>
        <w:rPr>
          <w:rFonts w:hint="eastAsia"/>
          <w:b/>
          <w:color w:val="112233"/>
        </w:rPr>
        <w:t>以上名单仅为部分校内师资，其中专题课程会邀请国内外该领域的资深临床医生、专家进行教授。</w:t>
      </w:r>
    </w:p>
    <w:p>
      <w:pPr>
        <w:rPr>
          <w:rFonts w:ascii="宋体" w:hAnsi="宋体" w:eastAsia="宋体" w:cs="宋体"/>
        </w:rPr>
      </w:pPr>
      <w:bookmarkStart w:id="0" w:name="_GoBack"/>
      <w:bookmarkEnd w:id="0"/>
    </w:p>
    <w:p/>
    <w:p/>
    <w:p/>
    <w:p>
      <w:pPr>
        <w:spacing w:line="360" w:lineRule="auto"/>
        <w:rPr>
          <w:rFonts w:ascii="黑体" w:hAnsi="黑体" w:eastAsia="黑体" w:cs="宋体"/>
          <w:color w:val="112233"/>
          <w:sz w:val="30"/>
          <w:szCs w:val="30"/>
        </w:rPr>
      </w:pPr>
    </w:p>
    <w:p>
      <w:pPr>
        <w:jc w:val="center"/>
      </w:pPr>
    </w:p>
    <w:p>
      <w:pPr>
        <w:jc w:val="center"/>
      </w:pPr>
    </w:p>
    <w:sectPr>
      <w:pgSz w:w="12240" w:h="15840"/>
      <w:pgMar w:top="1440" w:right="1440" w:bottom="1440" w:left="1440" w:header="720" w:footer="720" w:gutter="0"/>
      <w:pgBorders w:offsetFrom="page">
        <w:top w:val="single" w:color="auto" w:sz="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Songti SC">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Arial">
    <w:panose1 w:val="020B0604020202020204"/>
    <w:charset w:val="8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A8"/>
    <w:rsid w:val="000430EA"/>
    <w:rsid w:val="000B6102"/>
    <w:rsid w:val="000F02A7"/>
    <w:rsid w:val="00110349"/>
    <w:rsid w:val="00113CFF"/>
    <w:rsid w:val="001639EC"/>
    <w:rsid w:val="001846A8"/>
    <w:rsid w:val="00203E35"/>
    <w:rsid w:val="00217305"/>
    <w:rsid w:val="002811B2"/>
    <w:rsid w:val="002A5670"/>
    <w:rsid w:val="002A5AB2"/>
    <w:rsid w:val="002D2EBD"/>
    <w:rsid w:val="002F6217"/>
    <w:rsid w:val="003377A4"/>
    <w:rsid w:val="00337CD0"/>
    <w:rsid w:val="003554EF"/>
    <w:rsid w:val="003858BC"/>
    <w:rsid w:val="00387B75"/>
    <w:rsid w:val="003B430A"/>
    <w:rsid w:val="003E43CB"/>
    <w:rsid w:val="00400724"/>
    <w:rsid w:val="00401B9E"/>
    <w:rsid w:val="00422416"/>
    <w:rsid w:val="004301DE"/>
    <w:rsid w:val="00482ABB"/>
    <w:rsid w:val="004A72FD"/>
    <w:rsid w:val="004B3A99"/>
    <w:rsid w:val="00590F16"/>
    <w:rsid w:val="005A3545"/>
    <w:rsid w:val="0064641B"/>
    <w:rsid w:val="00676BCB"/>
    <w:rsid w:val="00690A9B"/>
    <w:rsid w:val="006E5884"/>
    <w:rsid w:val="007238AE"/>
    <w:rsid w:val="00730005"/>
    <w:rsid w:val="00741761"/>
    <w:rsid w:val="00761176"/>
    <w:rsid w:val="0076686C"/>
    <w:rsid w:val="007742A7"/>
    <w:rsid w:val="0078249C"/>
    <w:rsid w:val="007C3A88"/>
    <w:rsid w:val="007D2B9F"/>
    <w:rsid w:val="007E130D"/>
    <w:rsid w:val="007E2BFD"/>
    <w:rsid w:val="007F7378"/>
    <w:rsid w:val="0080622D"/>
    <w:rsid w:val="00831142"/>
    <w:rsid w:val="00843CA7"/>
    <w:rsid w:val="00845345"/>
    <w:rsid w:val="00862670"/>
    <w:rsid w:val="008C25DE"/>
    <w:rsid w:val="008C3064"/>
    <w:rsid w:val="008C3ADC"/>
    <w:rsid w:val="008E5DFA"/>
    <w:rsid w:val="008F4E08"/>
    <w:rsid w:val="00952020"/>
    <w:rsid w:val="00963947"/>
    <w:rsid w:val="00974368"/>
    <w:rsid w:val="009779C0"/>
    <w:rsid w:val="00983625"/>
    <w:rsid w:val="009959F2"/>
    <w:rsid w:val="009B4812"/>
    <w:rsid w:val="009B61BE"/>
    <w:rsid w:val="009D41D5"/>
    <w:rsid w:val="00A00A22"/>
    <w:rsid w:val="00A02566"/>
    <w:rsid w:val="00A44ED4"/>
    <w:rsid w:val="00A56407"/>
    <w:rsid w:val="00A81677"/>
    <w:rsid w:val="00AA154A"/>
    <w:rsid w:val="00AC02CD"/>
    <w:rsid w:val="00AC7385"/>
    <w:rsid w:val="00AF6F04"/>
    <w:rsid w:val="00B045EA"/>
    <w:rsid w:val="00B2291C"/>
    <w:rsid w:val="00B23B1C"/>
    <w:rsid w:val="00B363C2"/>
    <w:rsid w:val="00B8247A"/>
    <w:rsid w:val="00B83797"/>
    <w:rsid w:val="00B907F2"/>
    <w:rsid w:val="00B96288"/>
    <w:rsid w:val="00BF0F57"/>
    <w:rsid w:val="00C75963"/>
    <w:rsid w:val="00C94DBF"/>
    <w:rsid w:val="00C961B1"/>
    <w:rsid w:val="00D50460"/>
    <w:rsid w:val="00D771AF"/>
    <w:rsid w:val="00DB4B69"/>
    <w:rsid w:val="00DC2534"/>
    <w:rsid w:val="00DC7294"/>
    <w:rsid w:val="00DD0A07"/>
    <w:rsid w:val="00DE2B45"/>
    <w:rsid w:val="00E3306C"/>
    <w:rsid w:val="00E653E3"/>
    <w:rsid w:val="00E83C4B"/>
    <w:rsid w:val="00E87B33"/>
    <w:rsid w:val="00E97164"/>
    <w:rsid w:val="00E97E14"/>
    <w:rsid w:val="00EB2C0E"/>
    <w:rsid w:val="00F15C7B"/>
    <w:rsid w:val="00F35AB7"/>
    <w:rsid w:val="00F85E77"/>
    <w:rsid w:val="00FA6C87"/>
    <w:rsid w:val="00FC30D5"/>
    <w:rsid w:val="00FE16D3"/>
    <w:rsid w:val="00FF2418"/>
    <w:rsid w:val="08A07852"/>
    <w:rsid w:val="0B1F4907"/>
    <w:rsid w:val="0C9F7119"/>
    <w:rsid w:val="10195A99"/>
    <w:rsid w:val="11622DDF"/>
    <w:rsid w:val="15FE5588"/>
    <w:rsid w:val="19B56821"/>
    <w:rsid w:val="1DC82451"/>
    <w:rsid w:val="20905C8A"/>
    <w:rsid w:val="21452939"/>
    <w:rsid w:val="229F2918"/>
    <w:rsid w:val="233D1201"/>
    <w:rsid w:val="27AB684C"/>
    <w:rsid w:val="28AD425E"/>
    <w:rsid w:val="2A2E3FF0"/>
    <w:rsid w:val="2E581DB8"/>
    <w:rsid w:val="2E974A51"/>
    <w:rsid w:val="2F3228EC"/>
    <w:rsid w:val="33A51636"/>
    <w:rsid w:val="346B11DD"/>
    <w:rsid w:val="356C65D6"/>
    <w:rsid w:val="35E17357"/>
    <w:rsid w:val="37243EFE"/>
    <w:rsid w:val="3AC0647E"/>
    <w:rsid w:val="3CD20042"/>
    <w:rsid w:val="46A832E7"/>
    <w:rsid w:val="473F494C"/>
    <w:rsid w:val="48F054E8"/>
    <w:rsid w:val="495B6DCD"/>
    <w:rsid w:val="4DA72A54"/>
    <w:rsid w:val="532E6C7B"/>
    <w:rsid w:val="53372F9E"/>
    <w:rsid w:val="53603EE5"/>
    <w:rsid w:val="578A21A4"/>
    <w:rsid w:val="585B4176"/>
    <w:rsid w:val="58E97DA3"/>
    <w:rsid w:val="593C4C9F"/>
    <w:rsid w:val="5B6C2D6A"/>
    <w:rsid w:val="5C36128F"/>
    <w:rsid w:val="62366016"/>
    <w:rsid w:val="6293409C"/>
    <w:rsid w:val="64842BAA"/>
    <w:rsid w:val="67CD478A"/>
    <w:rsid w:val="6B1A7E8C"/>
    <w:rsid w:val="6C4059E8"/>
    <w:rsid w:val="6EC7146A"/>
    <w:rsid w:val="70475418"/>
    <w:rsid w:val="72095837"/>
    <w:rsid w:val="72397415"/>
    <w:rsid w:val="74C16BDD"/>
    <w:rsid w:val="7584380A"/>
    <w:rsid w:val="79EF648E"/>
    <w:rsid w:val="7C1B064A"/>
    <w:rsid w:val="7CF731A6"/>
    <w:rsid w:val="7E53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unhideWhenUsed/>
    <w:qFormat/>
    <w:uiPriority w:val="99"/>
    <w:rPr>
      <w:rFonts w:eastAsia="宋体"/>
      <w:sz w:val="20"/>
      <w:szCs w:val="20"/>
      <w:u w:color="000000"/>
      <w:lang w:eastAsia="en-US"/>
    </w:rPr>
  </w:style>
  <w:style w:type="paragraph" w:styleId="3">
    <w:name w:val="Balloon Text"/>
    <w:basedOn w:val="1"/>
    <w:link w:val="10"/>
    <w:semiHidden/>
    <w:unhideWhenUsed/>
    <w:qFormat/>
    <w:uiPriority w:val="99"/>
    <w:rPr>
      <w:rFonts w:ascii="宋体" w:eastAsia="宋体"/>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styleId="7">
    <w:name w:val="annotation reference"/>
    <w:basedOn w:val="5"/>
    <w:semiHidden/>
    <w:unhideWhenUsed/>
    <w:qFormat/>
    <w:uiPriority w:val="99"/>
    <w:rPr>
      <w:sz w:val="16"/>
      <w:szCs w:val="16"/>
    </w:rPr>
  </w:style>
  <w:style w:type="paragraph" w:styleId="8">
    <w:name w:val="List Paragraph"/>
    <w:basedOn w:val="1"/>
    <w:qFormat/>
    <w:uiPriority w:val="34"/>
    <w:pPr>
      <w:ind w:left="720"/>
      <w:contextualSpacing/>
    </w:pPr>
  </w:style>
  <w:style w:type="character" w:customStyle="1" w:styleId="9">
    <w:name w:val="批注文字 字符"/>
    <w:basedOn w:val="5"/>
    <w:link w:val="2"/>
    <w:qFormat/>
    <w:uiPriority w:val="99"/>
    <w:rPr>
      <w:rFonts w:ascii="Times New Roman" w:hAnsi="Times New Roman" w:eastAsia="宋体" w:cs="Times New Roman"/>
      <w:kern w:val="0"/>
      <w:sz w:val="20"/>
      <w:szCs w:val="20"/>
      <w:u w:color="000000"/>
      <w:lang w:eastAsia="en-US"/>
    </w:rPr>
  </w:style>
  <w:style w:type="character" w:customStyle="1" w:styleId="10">
    <w:name w:val="批注框文本 字符"/>
    <w:basedOn w:val="5"/>
    <w:link w:val="3"/>
    <w:semiHidden/>
    <w:qFormat/>
    <w:uiPriority w:val="99"/>
    <w:rPr>
      <w:rFonts w:ascii="宋体" w:hAnsi="Times New Roman" w:eastAsia="宋体" w:cs="Times New Roman"/>
      <w:kern w:val="0"/>
      <w:sz w:val="18"/>
      <w:szCs w:val="18"/>
    </w:rPr>
  </w:style>
  <w:style w:type="paragraph" w:customStyle="1" w:styleId="11">
    <w:name w:val="Word Default Style A"/>
    <w:qFormat/>
    <w:uiPriority w:val="0"/>
    <w:pPr>
      <w:widowControl w:val="0"/>
      <w:jc w:val="both"/>
    </w:pPr>
    <w:rPr>
      <w:rFonts w:hint="eastAsia" w:ascii="Arial Unicode MS" w:hAnsi="Arial Unicode MS" w:eastAsia="Arial Unicode MS" w:cs="Arial Unicode MS"/>
      <w:color w:val="000000"/>
      <w:u w:color="000000"/>
      <w:lang w:val="zh-TW" w:eastAsia="zh-TW" w:bidi="ar-SA"/>
    </w:rPr>
  </w:style>
  <w:style w:type="character" w:customStyle="1" w:styleId="12">
    <w:name w:val="无"/>
    <w:qFormat/>
    <w:uiPriority w:val="0"/>
  </w:style>
  <w:style w:type="table" w:customStyle="1" w:styleId="13">
    <w:name w:val="Table Normal1"/>
    <w:qFormat/>
    <w:uiPriority w:val="0"/>
    <w:tblPr>
      <w:tblCellMar>
        <w:top w:w="0" w:type="dxa"/>
        <w:left w:w="0" w:type="dxa"/>
        <w:bottom w:w="0" w:type="dxa"/>
        <w:right w:w="0" w:type="dxa"/>
      </w:tblCellMar>
    </w:tblPr>
  </w:style>
  <w:style w:type="paragraph" w:customStyle="1" w:styleId="14">
    <w:name w:val="p4"/>
    <w:basedOn w:val="1"/>
    <w:qFormat/>
    <w:uiPriority w:val="0"/>
    <w:pPr>
      <w:spacing w:before="100" w:beforeAutospacing="1" w:after="100" w:afterAutospacing="1"/>
    </w:pPr>
    <w:rPr>
      <w:rFonts w:ascii="宋体" w:hAnsi="宋体" w:eastAsia="宋体" w:cs="宋体"/>
    </w:rPr>
  </w:style>
  <w:style w:type="paragraph" w:customStyle="1" w:styleId="15">
    <w:name w:val="修订1"/>
    <w:hidden/>
    <w:unhideWhenUsed/>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1025</Words>
  <Characters>5846</Characters>
  <Lines>48</Lines>
  <Paragraphs>13</Paragraphs>
  <TotalTime>4</TotalTime>
  <ScaleCrop>false</ScaleCrop>
  <LinksUpToDate>false</LinksUpToDate>
  <CharactersWithSpaces>6858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2020-04-06T04:05:00Z</dcterms:created>
  <dc:creator>36653853@qq.com</dc:creator>
  <cp:lastModifiedBy>TAN</cp:lastModifiedBy>
  <dcterms:modified xsi:type="dcterms:W3CDTF">2020-04-14T04:24:01Z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